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Calibri" w:hAnsi="Calibri" w:eastAsia="標楷體"/>
          <w:sz w:val="28"/>
          <w:szCs w:val="28"/>
        </w:rPr>
      </w:pPr>
      <w:r>
        <w:rPr>
          <w:rFonts w:hint="eastAsia" w:ascii="Calibri" w:hAnsi="Calibri" w:eastAsia="標楷體"/>
          <w:sz w:val="28"/>
          <w:szCs w:val="28"/>
        </w:rPr>
        <w:t>嘉義</w:t>
      </w:r>
      <w:r>
        <w:rPr>
          <w:rFonts w:ascii="Calibri" w:hAnsi="Calibri" w:eastAsia="標楷體"/>
          <w:sz w:val="28"/>
          <w:szCs w:val="28"/>
        </w:rPr>
        <w:t>市</w:t>
      </w:r>
      <w:r>
        <w:rPr>
          <w:rFonts w:hint="eastAsia" w:ascii="Calibri" w:hAnsi="Calibri" w:eastAsia="標楷體"/>
          <w:sz w:val="28"/>
          <w:szCs w:val="28"/>
        </w:rPr>
        <w:t>113學年度精進</w:t>
      </w:r>
      <w:r>
        <w:rPr>
          <w:rFonts w:ascii="Calibri" w:hAnsi="Calibri" w:eastAsia="標楷體"/>
          <w:sz w:val="28"/>
          <w:szCs w:val="28"/>
        </w:rPr>
        <w:t>國民</w:t>
      </w:r>
      <w:r>
        <w:rPr>
          <w:rFonts w:hint="eastAsia" w:ascii="Calibri" w:hAnsi="Calibri" w:eastAsia="標楷體"/>
          <w:sz w:val="28"/>
          <w:szCs w:val="28"/>
        </w:rPr>
        <w:t>中小學教師教學專業與課程品質整體推動計畫</w:t>
      </w:r>
    </w:p>
    <w:p>
      <w:pPr>
        <w:adjustRightInd w:val="0"/>
        <w:snapToGrid w:val="0"/>
        <w:jc w:val="center"/>
        <w:rPr>
          <w:rFonts w:ascii="Calibri" w:hAnsi="Calibri" w:eastAsia="標楷體"/>
          <w:sz w:val="28"/>
          <w:szCs w:val="28"/>
          <w:shd w:val="clear" w:color="auto" w:fill="F2F2F2"/>
        </w:rPr>
      </w:pPr>
      <w:r>
        <w:rPr>
          <w:rFonts w:hint="eastAsia" w:ascii="Times" w:hAnsi="Times" w:eastAsia="標楷體"/>
          <w:bCs/>
          <w:kern w:val="0"/>
          <w:sz w:val="32"/>
          <w:szCs w:val="32"/>
        </w:rPr>
        <w:t>國民教育輔導體系-</w:t>
      </w:r>
      <w:r>
        <w:rPr>
          <w:rFonts w:hint="eastAsia" w:ascii="Calibri" w:hAnsi="Calibri" w:eastAsia="標楷體"/>
          <w:sz w:val="28"/>
          <w:szCs w:val="28"/>
          <w:shd w:val="clear" w:color="auto" w:fill="F2F2F2"/>
        </w:rPr>
        <w:t>國民教育輔導團健體領域輔導小組</w:t>
      </w:r>
    </w:p>
    <w:p>
      <w:pPr>
        <w:widowControl/>
        <w:adjustRightInd w:val="0"/>
        <w:snapToGrid w:val="0"/>
        <w:spacing w:after="200" w:line="276" w:lineRule="auto"/>
        <w:jc w:val="center"/>
        <w:rPr>
          <w:rFonts w:ascii="標楷體" w:hAnsi="標楷體" w:eastAsia="標楷體"/>
          <w:kern w:val="0"/>
        </w:rPr>
      </w:pPr>
      <w:r>
        <w:rPr>
          <w:rFonts w:hint="eastAsia" w:ascii="Calibri" w:hAnsi="Calibri" w:eastAsia="標楷體"/>
          <w:sz w:val="28"/>
          <w:szCs w:val="28"/>
          <w:shd w:val="clear" w:color="auto" w:fill="F2F2F2"/>
        </w:rPr>
        <w:t>健康教育桌遊在教學上的實際應用實施計畫</w:t>
      </w:r>
    </w:p>
    <w:p>
      <w:pPr>
        <w:autoSpaceDE w:val="0"/>
        <w:autoSpaceDN w:val="0"/>
        <w:adjustRightInd w:val="0"/>
        <w:snapToGrid w:val="0"/>
        <w:rPr>
          <w:rFonts w:ascii="標楷體" w:hAnsi="標楷體" w:eastAsia="標楷體"/>
        </w:rPr>
      </w:pPr>
      <w:r>
        <w:rPr>
          <w:rFonts w:ascii="標楷體" w:hAnsi="標楷體" w:eastAsia="標楷體"/>
        </w:rPr>
        <w:t>一、依據</w:t>
      </w:r>
    </w:p>
    <w:p>
      <w:pPr>
        <w:autoSpaceDE w:val="0"/>
        <w:autoSpaceDN w:val="0"/>
        <w:adjustRightInd w:val="0"/>
        <w:snapToGrid w:val="0"/>
        <w:ind w:left="708" w:hanging="708" w:hangingChars="295"/>
        <w:rPr>
          <w:rFonts w:ascii="標楷體" w:hAnsi="標楷體" w:eastAsia="標楷體"/>
        </w:rPr>
      </w:pPr>
      <w:r>
        <w:rPr>
          <w:rFonts w:ascii="標楷體" w:hAnsi="標楷體" w:eastAsia="標楷體"/>
        </w:rPr>
        <w:t>（一）教育部補助</w:t>
      </w:r>
      <w:r>
        <w:rPr>
          <w:rFonts w:hint="eastAsia" w:ascii="標楷體" w:hAnsi="標楷體" w:eastAsia="標楷體"/>
        </w:rPr>
        <w:t>直轄市、</w:t>
      </w:r>
      <w:r>
        <w:rPr>
          <w:rFonts w:ascii="標楷體" w:hAnsi="標楷體" w:eastAsia="標楷體"/>
        </w:rPr>
        <w:t>縣(市)</w:t>
      </w:r>
      <w:r>
        <w:rPr>
          <w:rFonts w:hint="eastAsia" w:ascii="標楷體" w:hAnsi="標楷體" w:eastAsia="標楷體"/>
        </w:rPr>
        <w:t>政府</w:t>
      </w:r>
      <w:r>
        <w:rPr>
          <w:rFonts w:ascii="標楷體" w:hAnsi="標楷體" w:eastAsia="標楷體"/>
        </w:rPr>
        <w:t>精進國民中學及國民小學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作業</w:t>
      </w:r>
      <w:r>
        <w:rPr>
          <w:rFonts w:ascii="標楷體" w:hAnsi="標楷體" w:eastAsia="標楷體"/>
        </w:rPr>
        <w:t>要點。</w:t>
      </w:r>
    </w:p>
    <w:p>
      <w:pPr>
        <w:autoSpaceDE w:val="0"/>
        <w:autoSpaceDN w:val="0"/>
        <w:adjustRightInd w:val="0"/>
        <w:snapToGrid w:val="0"/>
        <w:rPr>
          <w:rFonts w:ascii="標楷體" w:hAnsi="標楷體" w:eastAsia="標楷體"/>
        </w:rPr>
      </w:pPr>
      <w:r>
        <w:rPr>
          <w:rFonts w:ascii="標楷體" w:hAnsi="標楷體" w:eastAsia="標楷體"/>
        </w:rPr>
        <w:t>（二）</w:t>
      </w:r>
      <w:r>
        <w:rPr>
          <w:rFonts w:hint="eastAsia" w:ascii="標楷體" w:hAnsi="標楷體" w:eastAsia="標楷體"/>
        </w:rPr>
        <w:t>嘉義</w:t>
      </w:r>
      <w:r>
        <w:rPr>
          <w:rFonts w:ascii="標楷體" w:hAnsi="標楷體" w:eastAsia="標楷體"/>
        </w:rPr>
        <w:t>市</w:t>
      </w:r>
      <w:r>
        <w:rPr>
          <w:rFonts w:hint="eastAsia" w:ascii="標楷體" w:hAnsi="標楷體" w:eastAsia="標楷體"/>
        </w:rPr>
        <w:t>113學</w:t>
      </w:r>
      <w:r>
        <w:rPr>
          <w:rFonts w:ascii="標楷體" w:hAnsi="標楷體" w:eastAsia="標楷體"/>
        </w:rPr>
        <w:t>年度精進國民中小學</w:t>
      </w:r>
      <w:r>
        <w:rPr>
          <w:rFonts w:hint="eastAsia" w:ascii="標楷體" w:hAnsi="標楷體" w:eastAsia="標楷體"/>
        </w:rPr>
        <w:t>教師</w:t>
      </w:r>
      <w:r>
        <w:rPr>
          <w:rFonts w:ascii="標楷體" w:hAnsi="標楷體" w:eastAsia="標楷體"/>
        </w:rPr>
        <w:t>教學</w:t>
      </w:r>
      <w:r>
        <w:rPr>
          <w:rFonts w:hint="eastAsia" w:ascii="標楷體" w:hAnsi="標楷體" w:eastAsia="標楷體"/>
        </w:rPr>
        <w:t>專業與課程</w:t>
      </w:r>
      <w:r>
        <w:rPr>
          <w:rFonts w:ascii="標楷體" w:hAnsi="標楷體" w:eastAsia="標楷體"/>
        </w:rPr>
        <w:t>品質</w:t>
      </w:r>
      <w:r>
        <w:rPr>
          <w:rFonts w:hint="eastAsia" w:ascii="標楷體" w:hAnsi="標楷體" w:eastAsia="標楷體"/>
        </w:rPr>
        <w:t>整體推動</w:t>
      </w:r>
      <w:r>
        <w:rPr>
          <w:rFonts w:ascii="標楷體" w:hAnsi="標楷體" w:eastAsia="標楷體"/>
        </w:rPr>
        <w:t>計畫。</w:t>
      </w:r>
    </w:p>
    <w:p>
      <w:pPr>
        <w:autoSpaceDE w:val="0"/>
        <w:autoSpaceDN w:val="0"/>
        <w:adjustRightInd w:val="0"/>
        <w:snapToGrid w:val="0"/>
        <w:rPr>
          <w:rFonts w:ascii="標楷體" w:hAnsi="標楷體" w:eastAsia="標楷體"/>
        </w:rPr>
      </w:pPr>
      <w:r>
        <w:rPr>
          <w:rFonts w:ascii="標楷體" w:hAnsi="標楷體" w:eastAsia="標楷體"/>
        </w:rPr>
        <w:t>（三）</w:t>
      </w:r>
      <w:r>
        <w:rPr>
          <w:rFonts w:hint="eastAsia" w:ascii="標楷體" w:hAnsi="標楷體" w:eastAsia="標楷體"/>
        </w:rPr>
        <w:t>嘉義市113學</w:t>
      </w:r>
      <w:r>
        <w:rPr>
          <w:rFonts w:ascii="標楷體" w:hAnsi="標楷體" w:eastAsia="標楷體"/>
        </w:rPr>
        <w:t>年度國民教育輔導團</w:t>
      </w:r>
      <w:r>
        <w:rPr>
          <w:rFonts w:hint="eastAsia" w:ascii="標楷體" w:hAnsi="標楷體" w:eastAsia="標楷體"/>
        </w:rPr>
        <w:t>整體團務</w:t>
      </w:r>
      <w:r>
        <w:rPr>
          <w:rFonts w:ascii="標楷體" w:hAnsi="標楷體" w:eastAsia="標楷體"/>
        </w:rPr>
        <w:t>計畫。</w:t>
      </w:r>
    </w:p>
    <w:p>
      <w:pPr>
        <w:autoSpaceDE w:val="0"/>
        <w:autoSpaceDN w:val="0"/>
        <w:adjustRightInd w:val="0"/>
        <w:snapToGrid w:val="0"/>
        <w:rPr>
          <w:rFonts w:ascii="標楷體" w:hAnsi="標楷體" w:eastAsia="標楷體"/>
        </w:rPr>
      </w:pPr>
    </w:p>
    <w:p>
      <w:pPr>
        <w:widowControl/>
        <w:numPr>
          <w:ilvl w:val="0"/>
          <w:numId w:val="1"/>
        </w:numPr>
        <w:adjustRightInd w:val="0"/>
        <w:snapToGrid w:val="0"/>
        <w:spacing w:after="200" w:line="276" w:lineRule="auto"/>
        <w:rPr>
          <w:rFonts w:ascii="標楷體" w:hAnsi="標楷體" w:eastAsia="標楷體"/>
        </w:rPr>
      </w:pPr>
      <w:r>
        <w:rPr>
          <w:rFonts w:hint="eastAsia" w:ascii="標楷體" w:hAnsi="標楷體" w:eastAsia="標楷體"/>
        </w:rPr>
        <w:t>現況分析與需求評估</w:t>
      </w:r>
    </w:p>
    <w:p>
      <w:pPr>
        <w:widowControl/>
        <w:adjustRightInd w:val="0"/>
        <w:snapToGrid w:val="0"/>
        <w:spacing w:after="200" w:line="276" w:lineRule="auto"/>
        <w:rPr>
          <w:rFonts w:ascii="標楷體" w:hAnsi="標楷體" w:eastAsia="標楷體"/>
        </w:rPr>
      </w:pPr>
      <w:r>
        <w:rPr>
          <w:rFonts w:hint="eastAsia" w:ascii="標楷體" w:hAnsi="標楷體" w:eastAsia="標楷體"/>
        </w:rPr>
        <w:t>為了提升健康教育的教學多樣元與學生學習效率，至今已發展出多套桌遊，而輔導團辦理增能研習也隨著桌遊的發展脈絡，多次舉辦相關的活動，包含塞可斯、全民健保大富翁、醫全超人、節電達人……等多套桌遊，也為了配合課程購入多套桌遊，如果沒有時時溫故知新，善加利用教育資源是一件很可惜的事情。本次增能研習是為了整合輔導團現有的教學資源，幫助老師們更加熟悉各種桌遊的使用方式，並優化使用方式，一方面不會佔用太多課程時間，亦可加深學生學習印象，完成「寓教於樂」的教育目的，使得教育桌遊發揮最大的輔助價值。</w:t>
      </w:r>
    </w:p>
    <w:p>
      <w:pPr>
        <w:adjustRightInd w:val="0"/>
        <w:snapToGrid w:val="0"/>
        <w:rPr>
          <w:rFonts w:ascii="標楷體" w:hAnsi="標楷體" w:eastAsia="標楷體"/>
        </w:rPr>
      </w:pPr>
      <w:r>
        <w:rPr>
          <w:rFonts w:hint="eastAsia" w:ascii="標楷體" w:hAnsi="標楷體" w:eastAsia="標楷體"/>
        </w:rPr>
        <w:t>三、</w:t>
      </w:r>
      <w:r>
        <w:rPr>
          <w:rFonts w:ascii="標楷體" w:hAnsi="標楷體" w:eastAsia="標楷體"/>
        </w:rPr>
        <w:t>目的</w:t>
      </w:r>
    </w:p>
    <w:p>
      <w:pPr>
        <w:adjustRightInd w:val="0"/>
        <w:snapToGrid w:val="0"/>
        <w:rPr>
          <w:rFonts w:ascii="標楷體" w:hAnsi="標楷體" w:eastAsia="標楷體"/>
        </w:rPr>
      </w:pPr>
      <w:r>
        <w:rPr>
          <w:rFonts w:hint="eastAsia" w:ascii="標楷體" w:hAnsi="標楷體" w:eastAsia="標楷體"/>
        </w:rPr>
        <w:t>（一）整合輔導團現有的各種桌遊並融入教學活動。</w:t>
      </w:r>
    </w:p>
    <w:p>
      <w:pPr>
        <w:adjustRightInd w:val="0"/>
        <w:snapToGrid w:val="0"/>
        <w:rPr>
          <w:rFonts w:ascii="標楷體" w:hAnsi="標楷體" w:eastAsia="標楷體"/>
        </w:rPr>
      </w:pPr>
      <w:r>
        <w:rPr>
          <w:rFonts w:hint="eastAsia" w:ascii="標楷體" w:hAnsi="標楷體" w:eastAsia="標楷體"/>
        </w:rPr>
        <w:t>（二）優化課程，讓桌遊的使用能更有效率。</w:t>
      </w:r>
    </w:p>
    <w:p>
      <w:pPr>
        <w:adjustRightInd w:val="0"/>
        <w:snapToGrid w:val="0"/>
        <w:ind w:left="617" w:leftChars="257"/>
        <w:rPr>
          <w:rFonts w:ascii="標楷體" w:hAnsi="標楷體" w:eastAsia="標楷體"/>
        </w:rPr>
      </w:pPr>
    </w:p>
    <w:p>
      <w:pPr>
        <w:adjustRightInd w:val="0"/>
        <w:snapToGrid w:val="0"/>
        <w:rPr>
          <w:rFonts w:ascii="標楷體" w:hAnsi="標楷體" w:eastAsia="標楷體"/>
        </w:rPr>
      </w:pPr>
      <w:r>
        <w:rPr>
          <w:rFonts w:ascii="標楷體" w:hAnsi="標楷體" w:eastAsia="標楷體"/>
        </w:rPr>
        <w:t>四、辦理單位</w:t>
      </w:r>
    </w:p>
    <w:p>
      <w:pPr>
        <w:adjustRightInd w:val="0"/>
        <w:snapToGrid w:val="0"/>
        <w:rPr>
          <w:rFonts w:ascii="標楷體" w:hAnsi="標楷體" w:eastAsia="標楷體"/>
        </w:rPr>
      </w:pPr>
      <w:r>
        <w:rPr>
          <w:rFonts w:ascii="標楷體" w:hAnsi="標楷體" w:eastAsia="標楷體"/>
        </w:rPr>
        <w:t>（一）指導單位：教育部國民及學前教育署</w:t>
      </w:r>
    </w:p>
    <w:p>
      <w:pPr>
        <w:adjustRightInd w:val="0"/>
        <w:snapToGrid w:val="0"/>
        <w:rPr>
          <w:rFonts w:ascii="標楷體" w:hAnsi="標楷體" w:eastAsia="標楷體"/>
        </w:rPr>
      </w:pPr>
      <w:r>
        <w:rPr>
          <w:rFonts w:ascii="標楷體" w:hAnsi="標楷體" w:eastAsia="標楷體"/>
        </w:rPr>
        <w:t>（二）主辦單位：</w:t>
      </w:r>
      <w:r>
        <w:rPr>
          <w:rFonts w:hint="eastAsia" w:ascii="標楷體" w:hAnsi="標楷體" w:eastAsia="標楷體"/>
        </w:rPr>
        <w:t>嘉義市</w:t>
      </w:r>
      <w:r>
        <w:rPr>
          <w:rFonts w:ascii="標楷體" w:hAnsi="標楷體" w:eastAsia="標楷體"/>
        </w:rPr>
        <w:t>政府</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三</w:t>
      </w:r>
      <w:r>
        <w:rPr>
          <w:rFonts w:ascii="標楷體" w:hAnsi="標楷體" w:eastAsia="標楷體"/>
        </w:rPr>
        <w:t>）承辦單位：</w:t>
      </w:r>
      <w:r>
        <w:rPr>
          <w:rFonts w:hint="eastAsia" w:ascii="標楷體" w:hAnsi="標楷體" w:eastAsia="標楷體"/>
        </w:rPr>
        <w:t>教育處國教輔導團健體領域</w:t>
      </w:r>
    </w:p>
    <w:p>
      <w:pPr>
        <w:adjustRightInd w:val="0"/>
        <w:snapToGrid w:val="0"/>
        <w:rPr>
          <w:rFonts w:ascii="標楷體" w:hAnsi="標楷體" w:eastAsia="標楷體"/>
        </w:rPr>
      </w:pPr>
      <w:r>
        <w:rPr>
          <w:rFonts w:ascii="標楷體" w:hAnsi="標楷體" w:eastAsia="標楷體"/>
        </w:rPr>
        <w:t>（</w:t>
      </w:r>
      <w:r>
        <w:rPr>
          <w:rFonts w:hint="eastAsia" w:ascii="標楷體" w:hAnsi="標楷體" w:eastAsia="標楷體"/>
        </w:rPr>
        <w:t>四</w:t>
      </w:r>
      <w:r>
        <w:rPr>
          <w:rFonts w:ascii="標楷體" w:hAnsi="標楷體" w:eastAsia="標楷體"/>
        </w:rPr>
        <w:t>）協辦單位</w:t>
      </w:r>
    </w:p>
    <w:p>
      <w:pPr>
        <w:adjustRightInd w:val="0"/>
        <w:snapToGrid w:val="0"/>
        <w:rPr>
          <w:rFonts w:ascii="標楷體" w:hAnsi="標楷體" w:eastAsia="標楷體"/>
        </w:rPr>
      </w:pPr>
    </w:p>
    <w:p>
      <w:pPr>
        <w:adjustRightInd w:val="0"/>
        <w:snapToGrid w:val="0"/>
        <w:rPr>
          <w:rFonts w:ascii="標楷體" w:hAnsi="標楷體" w:eastAsia="標楷體"/>
        </w:rPr>
      </w:pPr>
      <w:r>
        <w:rPr>
          <w:rFonts w:ascii="標楷體" w:hAnsi="標楷體" w:eastAsia="標楷體"/>
        </w:rPr>
        <w:t>五、辦理日期</w:t>
      </w:r>
      <w:r>
        <w:rPr>
          <w:rFonts w:hint="eastAsia" w:ascii="標楷體" w:hAnsi="標楷體" w:eastAsia="標楷體"/>
        </w:rPr>
        <w:t>(時間、時數等)</w:t>
      </w:r>
      <w:r>
        <w:rPr>
          <w:rFonts w:ascii="標楷體" w:hAnsi="標楷體" w:eastAsia="標楷體"/>
        </w:rPr>
        <w:t>及地點</w:t>
      </w:r>
      <w:r>
        <w:rPr>
          <w:rFonts w:hint="eastAsia" w:ascii="標楷體" w:hAnsi="標楷體" w:eastAsia="標楷體"/>
        </w:rPr>
        <w:t>(包含研習時數)</w:t>
      </w:r>
    </w:p>
    <w:p>
      <w:pPr>
        <w:widowControl/>
        <w:adjustRightInd w:val="0"/>
        <w:snapToGrid w:val="0"/>
        <w:jc w:val="both"/>
        <w:rPr>
          <w:rFonts w:ascii="標楷體" w:hAnsi="標楷體" w:eastAsia="標楷體" w:cs="Arial"/>
          <w:kern w:val="0"/>
        </w:rPr>
      </w:pPr>
    </w:p>
    <w:p>
      <w:pPr>
        <w:widowControl/>
        <w:spacing w:after="200" w:line="276" w:lineRule="auto"/>
        <w:rPr>
          <w:rFonts w:ascii="標楷體" w:hAnsi="標楷體" w:eastAsia="標楷體" w:cs="Arial"/>
          <w:kern w:val="0"/>
        </w:rPr>
      </w:pPr>
      <w:r>
        <w:rPr>
          <w:rFonts w:hint="eastAsia" w:ascii="標楷體" w:hAnsi="標楷體" w:eastAsia="標楷體" w:cs="Arial"/>
          <w:kern w:val="0"/>
        </w:rPr>
        <w:t>（一）時間：11</w:t>
      </w:r>
      <w:r>
        <w:rPr>
          <w:rFonts w:hint="eastAsia" w:ascii="標楷體" w:hAnsi="標楷體" w:eastAsia="標楷體" w:cs="Arial"/>
          <w:kern w:val="0"/>
          <w:lang w:val="en-US" w:eastAsia="zh-TW"/>
        </w:rPr>
        <w:t>3</w:t>
      </w:r>
      <w:r>
        <w:rPr>
          <w:rFonts w:hint="eastAsia" w:ascii="標楷體" w:hAnsi="標楷體" w:eastAsia="標楷體" w:cs="Arial"/>
          <w:kern w:val="0"/>
        </w:rPr>
        <w:t>年</w:t>
      </w:r>
      <w:r>
        <w:rPr>
          <w:rFonts w:hint="eastAsia" w:ascii="標楷體" w:hAnsi="標楷體" w:eastAsia="標楷體" w:cs="Arial"/>
          <w:kern w:val="0"/>
          <w:lang w:val="en-US" w:eastAsia="zh-TW"/>
        </w:rPr>
        <w:t>9</w:t>
      </w:r>
      <w:r>
        <w:rPr>
          <w:rFonts w:hint="eastAsia" w:ascii="標楷體" w:hAnsi="標楷體" w:eastAsia="標楷體" w:cs="Arial"/>
          <w:kern w:val="0"/>
        </w:rPr>
        <w:t>月</w:t>
      </w:r>
      <w:r>
        <w:rPr>
          <w:rFonts w:hint="eastAsia" w:ascii="標楷體" w:hAnsi="標楷體" w:eastAsia="標楷體" w:cs="Arial"/>
          <w:kern w:val="0"/>
          <w:lang w:val="en-US" w:eastAsia="zh-TW"/>
        </w:rPr>
        <w:t>26</w:t>
      </w:r>
      <w:r>
        <w:rPr>
          <w:rFonts w:hint="eastAsia" w:ascii="標楷體" w:hAnsi="標楷體" w:eastAsia="標楷體" w:cs="Arial"/>
          <w:kern w:val="0"/>
        </w:rPr>
        <w:t>日</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cs="Arial"/>
          <w:kern w:val="0"/>
        </w:rPr>
        <w:t>（二）地點：嘉義市立民生國中</w:t>
      </w:r>
      <w:r>
        <w:rPr>
          <w:rFonts w:hint="eastAsia" w:ascii="標楷體" w:hAnsi="標楷體" w:eastAsia="標楷體" w:cs="Arial"/>
          <w:kern w:val="0"/>
          <w:lang w:eastAsia="zh-TW"/>
        </w:rPr>
        <w:t>三樓會議室</w:t>
      </w:r>
    </w:p>
    <w:p>
      <w:pPr>
        <w:widowControl/>
        <w:adjustRightInd w:val="0"/>
        <w:snapToGrid w:val="0"/>
        <w:spacing w:after="200" w:line="276" w:lineRule="auto"/>
        <w:rPr>
          <w:rFonts w:ascii="標楷體" w:hAnsi="標楷體" w:eastAsia="標楷體"/>
          <w:kern w:val="0"/>
        </w:rPr>
      </w:pPr>
      <w:r>
        <w:rPr>
          <w:rFonts w:ascii="標楷體" w:hAnsi="標楷體" w:eastAsia="標楷體"/>
          <w:kern w:val="0"/>
        </w:rPr>
        <w:t>六、參加對象與人數</w:t>
      </w:r>
    </w:p>
    <w:p>
      <w:pPr>
        <w:widowControl/>
        <w:adjustRightInd w:val="0"/>
        <w:snapToGrid w:val="0"/>
        <w:spacing w:after="200" w:line="276" w:lineRule="auto"/>
        <w:ind w:firstLine="480" w:firstLineChars="200"/>
        <w:rPr>
          <w:rFonts w:ascii="標楷體" w:hAnsi="標楷體" w:eastAsia="標楷體"/>
          <w:kern w:val="0"/>
        </w:rPr>
      </w:pPr>
      <w:r>
        <w:rPr>
          <w:rFonts w:hint="eastAsia" w:ascii="標楷體" w:hAnsi="標楷體" w:eastAsia="標楷體"/>
          <w:kern w:val="0"/>
        </w:rPr>
        <w:t>嘉義市民生國中健體老師，健體輔導團成員，以及對本議題有興趣的老師，</w:t>
      </w:r>
      <w:r>
        <w:rPr>
          <w:rFonts w:hint="eastAsia" w:ascii="標楷體" w:hAnsi="標楷體" w:eastAsia="標楷體"/>
          <w:kern w:val="0"/>
          <w:lang w:eastAsia="zh-TW"/>
        </w:rPr>
        <w:t>其他學校老師鼓勵參加，</w:t>
      </w:r>
      <w:r>
        <w:rPr>
          <w:rFonts w:hint="eastAsia" w:ascii="標楷體" w:hAnsi="標楷體" w:eastAsia="標楷體"/>
          <w:kern w:val="0"/>
        </w:rPr>
        <w:t>預計</w:t>
      </w:r>
      <w:r>
        <w:rPr>
          <w:rFonts w:ascii="標楷體" w:hAnsi="標楷體" w:eastAsia="標楷體"/>
          <w:kern w:val="0"/>
        </w:rPr>
        <w:t>20</w:t>
      </w:r>
      <w:r>
        <w:rPr>
          <w:rFonts w:hint="eastAsia" w:ascii="標楷體" w:hAnsi="標楷體" w:eastAsia="標楷體"/>
          <w:kern w:val="0"/>
        </w:rPr>
        <w:t>名。</w:t>
      </w:r>
    </w:p>
    <w:p>
      <w:pPr>
        <w:widowControl/>
        <w:numPr>
          <w:ilvl w:val="0"/>
          <w:numId w:val="2"/>
        </w:numPr>
        <w:adjustRightInd w:val="0"/>
        <w:snapToGrid w:val="0"/>
        <w:spacing w:after="200" w:line="276" w:lineRule="auto"/>
        <w:rPr>
          <w:rFonts w:ascii="標楷體" w:hAnsi="標楷體" w:eastAsia="標楷體"/>
          <w:kern w:val="0"/>
          <w:lang w:eastAsia="en-US"/>
        </w:rPr>
      </w:pPr>
      <w:r>
        <w:rPr>
          <w:rFonts w:hint="eastAsia" w:ascii="標楷體" w:hAnsi="標楷體" w:eastAsia="標楷體"/>
          <w:kern w:val="0"/>
          <w:lang w:eastAsia="en-US"/>
        </w:rPr>
        <w:t>研習內容</w:t>
      </w:r>
    </w:p>
    <w:tbl>
      <w:tblPr>
        <w:tblStyle w:val="3"/>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13"/>
        <w:gridCol w:w="2806"/>
        <w:gridCol w:w="237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2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日期</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時間</w:t>
            </w:r>
          </w:p>
        </w:tc>
        <w:tc>
          <w:tcPr>
            <w:tcW w:w="2806"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主題</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講師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6"/>
                <w:szCs w:val="26"/>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restart"/>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11</w:t>
            </w:r>
            <w:r>
              <w:rPr>
                <w:rFonts w:hint="eastAsia" w:ascii="標楷體" w:hAnsi="標楷體" w:eastAsia="標楷體"/>
                <w:kern w:val="0"/>
                <w:sz w:val="26"/>
                <w:szCs w:val="26"/>
                <w:lang w:val="en-US" w:eastAsia="zh-TW"/>
              </w:rPr>
              <w:t>3</w:t>
            </w:r>
            <w:r>
              <w:rPr>
                <w:rFonts w:hint="eastAsia" w:ascii="標楷體" w:hAnsi="標楷體" w:eastAsia="標楷體"/>
                <w:kern w:val="0"/>
                <w:sz w:val="26"/>
                <w:szCs w:val="26"/>
                <w:lang w:eastAsia="en-US"/>
              </w:rPr>
              <w:t>年</w:t>
            </w:r>
          </w:p>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val="en-US" w:eastAsia="zh-TW"/>
              </w:rPr>
              <w:t>9</w:t>
            </w:r>
            <w:r>
              <w:rPr>
                <w:rFonts w:hint="eastAsia" w:ascii="標楷體" w:hAnsi="標楷體" w:eastAsia="標楷體"/>
                <w:kern w:val="0"/>
                <w:sz w:val="26"/>
                <w:szCs w:val="26"/>
                <w:lang w:eastAsia="en-US"/>
              </w:rPr>
              <w:t>月</w:t>
            </w:r>
            <w:r>
              <w:rPr>
                <w:rFonts w:hint="eastAsia" w:ascii="標楷體" w:hAnsi="標楷體" w:eastAsia="標楷體"/>
                <w:kern w:val="0"/>
                <w:sz w:val="26"/>
                <w:szCs w:val="26"/>
                <w:lang w:val="en-US" w:eastAsia="zh-TW"/>
              </w:rPr>
              <w:t>26</w:t>
            </w:r>
            <w:r>
              <w:rPr>
                <w:rFonts w:hint="eastAsia" w:ascii="標楷體" w:hAnsi="標楷體" w:eastAsia="標楷體"/>
                <w:kern w:val="0"/>
                <w:sz w:val="26"/>
                <w:szCs w:val="26"/>
                <w:lang w:eastAsia="en-US"/>
              </w:rPr>
              <w:t>日</w:t>
            </w: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13:20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13</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報到</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13:30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30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教育桌遊大雜匯</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14:30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14</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14:40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15</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40</w:t>
            </w:r>
          </w:p>
        </w:tc>
        <w:tc>
          <w:tcPr>
            <w:tcW w:w="2806" w:type="dxa"/>
            <w:vAlign w:val="center"/>
          </w:tcPr>
          <w:p>
            <w:pPr>
              <w:widowControl/>
              <w:autoSpaceDE w:val="0"/>
              <w:autoSpaceDN w:val="0"/>
              <w:adjustRightInd w:val="0"/>
              <w:spacing w:after="200" w:line="276" w:lineRule="auto"/>
              <w:jc w:val="center"/>
              <w:rPr>
                <w:rFonts w:ascii="標楷體" w:hAnsi="標楷體" w:eastAsia="標楷體" w:cs="標楷體"/>
                <w:kern w:val="0"/>
                <w:sz w:val="26"/>
                <w:szCs w:val="26"/>
              </w:rPr>
            </w:pPr>
            <w:r>
              <w:rPr>
                <w:rFonts w:hint="eastAsia" w:ascii="標楷體" w:hAnsi="標楷體" w:eastAsia="標楷體" w:cs="標楷體"/>
                <w:kern w:val="0"/>
                <w:sz w:val="26"/>
                <w:szCs w:val="26"/>
              </w:rPr>
              <w:t>進擊的教育桌遊（一）</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276" w:lineRule="auto"/>
              <w:jc w:val="center"/>
              <w:rPr>
                <w:rFonts w:ascii="標楷體" w:hAnsi="標楷體" w:eastAsia="標楷體" w:cs="DFMing-Md-HKP-BF"/>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15:40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16</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充電時間</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16:00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00</w:t>
            </w:r>
          </w:p>
        </w:tc>
        <w:tc>
          <w:tcPr>
            <w:tcW w:w="2806" w:type="dxa"/>
            <w:vAlign w:val="center"/>
          </w:tcPr>
          <w:p>
            <w:pPr>
              <w:widowControl/>
              <w:autoSpaceDN w:val="0"/>
              <w:spacing w:after="200" w:line="276" w:lineRule="auto"/>
              <w:jc w:val="center"/>
              <w:rPr>
                <w:rFonts w:ascii="標楷體" w:hAnsi="標楷體" w:eastAsia="標楷體"/>
                <w:kern w:val="0"/>
                <w:sz w:val="26"/>
                <w:szCs w:val="26"/>
              </w:rPr>
            </w:pPr>
            <w:r>
              <w:rPr>
                <w:rFonts w:hint="eastAsia" w:ascii="標楷體" w:hAnsi="標楷體" w:eastAsia="標楷體" w:cs="標楷體"/>
                <w:kern w:val="0"/>
                <w:sz w:val="26"/>
                <w:szCs w:val="26"/>
              </w:rPr>
              <w:t>進擊的教育桌遊（二）</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spacing w:line="500" w:lineRule="exact"/>
              <w:jc w:val="center"/>
              <w:rPr>
                <w:rFonts w:ascii="標楷體" w:hAnsi="標楷體" w:eastAsia="標楷體"/>
                <w:kern w:val="0"/>
                <w:sz w:val="26"/>
                <w:szCs w:val="26"/>
              </w:rPr>
            </w:pPr>
            <w:r>
              <w:rPr>
                <w:rFonts w:hint="eastAsia" w:ascii="標楷體" w:hAnsi="標楷體" w:eastAsia="標楷體"/>
                <w:kern w:val="0"/>
                <w:sz w:val="26"/>
                <w:szCs w:val="26"/>
              </w:rPr>
              <w:t>沈佩璇老師</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0"/>
                <w:szCs w:val="20"/>
              </w:rPr>
              <w:t>內聘1H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17:00</w:t>
            </w:r>
            <w:r>
              <w:rPr>
                <w:rFonts w:hint="eastAsia" w:ascii="標楷體" w:hAnsi="標楷體" w:eastAsia="標楷體"/>
                <w:kern w:val="0"/>
                <w:sz w:val="26"/>
                <w:szCs w:val="26"/>
                <w:lang w:eastAsia="en-US"/>
              </w:rPr>
              <w:t>～</w:t>
            </w:r>
            <w:r>
              <w:rPr>
                <w:rFonts w:ascii="標楷體" w:hAnsi="標楷體" w:eastAsia="標楷體"/>
                <w:kern w:val="0"/>
                <w:sz w:val="26"/>
                <w:szCs w:val="26"/>
                <w:lang w:eastAsia="en-US"/>
              </w:rPr>
              <w:t>17:30</w:t>
            </w:r>
          </w:p>
        </w:tc>
        <w:tc>
          <w:tcPr>
            <w:tcW w:w="2806" w:type="dxa"/>
            <w:vAlign w:val="center"/>
          </w:tcPr>
          <w:p>
            <w:pPr>
              <w:widowControl/>
              <w:autoSpaceDN w:val="0"/>
              <w:spacing w:after="200" w:line="276" w:lineRule="auto"/>
              <w:jc w:val="both"/>
              <w:rPr>
                <w:rFonts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vAlign w:val="center"/>
          </w:tcPr>
          <w:p>
            <w:pPr>
              <w:widowControl/>
              <w:spacing w:line="276" w:lineRule="auto"/>
              <w:jc w:val="center"/>
              <w:rPr>
                <w:rFonts w:ascii="標楷體" w:hAnsi="標楷體" w:eastAsia="標楷體"/>
                <w:kern w:val="0"/>
                <w:sz w:val="26"/>
                <w:szCs w:val="26"/>
              </w:rPr>
            </w:pPr>
            <w:r>
              <w:rPr>
                <w:rFonts w:hint="eastAsia" w:ascii="標楷體" w:hAnsi="標楷體" w:eastAsia="標楷體"/>
                <w:kern w:val="0"/>
                <w:sz w:val="26"/>
                <w:szCs w:val="26"/>
              </w:rPr>
              <w:t>嘉義市民生國中</w:t>
            </w:r>
          </w:p>
          <w:p>
            <w:pPr>
              <w:widowControl/>
              <w:autoSpaceDN w:val="0"/>
              <w:spacing w:after="200" w:line="500" w:lineRule="exact"/>
              <w:jc w:val="center"/>
              <w:rPr>
                <w:rFonts w:ascii="標楷體" w:hAnsi="標楷體" w:eastAsia="標楷體"/>
                <w:kern w:val="0"/>
                <w:sz w:val="26"/>
                <w:szCs w:val="26"/>
              </w:rPr>
            </w:pPr>
            <w:r>
              <w:rPr>
                <w:rFonts w:hint="eastAsia" w:ascii="標楷體" w:hAnsi="標楷體" w:eastAsia="標楷體"/>
                <w:kern w:val="0"/>
                <w:sz w:val="26"/>
                <w:szCs w:val="26"/>
              </w:rPr>
              <w:t>沈佩璇老師</w:t>
            </w:r>
          </w:p>
          <w:p>
            <w:pPr>
              <w:widowControl/>
              <w:autoSpaceDN w:val="0"/>
              <w:spacing w:after="200" w:line="500" w:lineRule="exact"/>
              <w:jc w:val="center"/>
              <w:rPr>
                <w:rFonts w:ascii="標楷體" w:hAnsi="標楷體" w:eastAsia="標楷體"/>
                <w:kern w:val="0"/>
                <w:sz w:val="26"/>
                <w:szCs w:val="26"/>
                <w:lang w:eastAsia="en-US"/>
              </w:rPr>
            </w:pPr>
            <w:r>
              <w:rPr>
                <w:rFonts w:hint="eastAsia" w:ascii="標楷體" w:hAnsi="標楷體" w:eastAsia="標楷體"/>
                <w:kern w:val="0"/>
                <w:sz w:val="26"/>
                <w:szCs w:val="26"/>
                <w:lang w:eastAsia="en-US"/>
              </w:rPr>
              <w:t>嘉義市健體輔導團</w:t>
            </w:r>
          </w:p>
        </w:tc>
        <w:tc>
          <w:tcPr>
            <w:tcW w:w="1170" w:type="dxa"/>
            <w:vAlign w:val="center"/>
          </w:tcPr>
          <w:p>
            <w:pPr>
              <w:widowControl/>
              <w:autoSpaceDN w:val="0"/>
              <w:spacing w:after="200" w:line="500" w:lineRule="exact"/>
              <w:jc w:val="center"/>
              <w:rPr>
                <w:rFonts w:ascii="標楷體" w:hAnsi="標楷體" w:eastAsia="標楷體"/>
                <w:kern w:val="0"/>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26" w:type="dxa"/>
            <w:vMerge w:val="continue"/>
          </w:tcPr>
          <w:p>
            <w:pPr>
              <w:widowControl/>
              <w:autoSpaceDN w:val="0"/>
              <w:spacing w:after="200" w:line="276" w:lineRule="auto"/>
              <w:jc w:val="center"/>
              <w:rPr>
                <w:rFonts w:ascii="標楷體" w:hAnsi="標楷體" w:eastAsia="標楷體"/>
                <w:kern w:val="0"/>
                <w:sz w:val="26"/>
                <w:szCs w:val="26"/>
                <w:lang w:eastAsia="en-US"/>
              </w:rPr>
            </w:pPr>
          </w:p>
        </w:tc>
        <w:tc>
          <w:tcPr>
            <w:tcW w:w="2013" w:type="dxa"/>
            <w:vAlign w:val="center"/>
          </w:tcPr>
          <w:p>
            <w:pPr>
              <w:widowControl/>
              <w:autoSpaceDN w:val="0"/>
              <w:spacing w:after="200" w:line="276" w:lineRule="auto"/>
              <w:jc w:val="center"/>
              <w:rPr>
                <w:rFonts w:ascii="標楷體" w:hAnsi="標楷體" w:eastAsia="標楷體"/>
                <w:kern w:val="0"/>
                <w:sz w:val="26"/>
                <w:szCs w:val="26"/>
                <w:lang w:eastAsia="en-US"/>
              </w:rPr>
            </w:pPr>
            <w:r>
              <w:rPr>
                <w:rFonts w:ascii="標楷體" w:hAnsi="標楷體" w:eastAsia="標楷體"/>
                <w:kern w:val="0"/>
                <w:sz w:val="26"/>
                <w:szCs w:val="26"/>
                <w:lang w:eastAsia="en-US"/>
              </w:rPr>
              <w:t>17:30</w:t>
            </w:r>
            <w:r>
              <w:rPr>
                <w:rFonts w:hint="eastAsia" w:ascii="標楷體" w:hAnsi="標楷體" w:eastAsia="標楷體"/>
                <w:kern w:val="0"/>
                <w:sz w:val="26"/>
                <w:szCs w:val="26"/>
                <w:lang w:eastAsia="en-US"/>
              </w:rPr>
              <w:t>～</w:t>
            </w:r>
          </w:p>
        </w:tc>
        <w:tc>
          <w:tcPr>
            <w:tcW w:w="2806" w:type="dxa"/>
            <w:vAlign w:val="center"/>
          </w:tcPr>
          <w:p>
            <w:pPr>
              <w:widowControl/>
              <w:autoSpaceDN w:val="0"/>
              <w:spacing w:after="200" w:line="276" w:lineRule="auto"/>
              <w:jc w:val="both"/>
              <w:rPr>
                <w:rFonts w:ascii="標楷體" w:hAnsi="標楷體" w:eastAsia="標楷體"/>
                <w:kern w:val="0"/>
                <w:sz w:val="26"/>
                <w:szCs w:val="26"/>
                <w:lang w:eastAsia="en-US"/>
              </w:rPr>
            </w:pPr>
            <w:r>
              <w:rPr>
                <w:rFonts w:hint="eastAsia" w:ascii="標楷體" w:hAnsi="標楷體" w:eastAsia="標楷體"/>
                <w:kern w:val="0"/>
                <w:sz w:val="26"/>
                <w:szCs w:val="26"/>
                <w:lang w:eastAsia="en-US"/>
              </w:rPr>
              <w:t>賦歸</w:t>
            </w:r>
          </w:p>
        </w:tc>
        <w:tc>
          <w:tcPr>
            <w:tcW w:w="2374" w:type="dxa"/>
            <w:vAlign w:val="center"/>
          </w:tcPr>
          <w:p>
            <w:pPr>
              <w:widowControl/>
              <w:autoSpaceDN w:val="0"/>
              <w:spacing w:after="200" w:line="276" w:lineRule="auto"/>
              <w:jc w:val="center"/>
              <w:rPr>
                <w:rFonts w:ascii="標楷體" w:hAnsi="標楷體" w:eastAsia="標楷體"/>
                <w:kern w:val="0"/>
                <w:sz w:val="26"/>
                <w:szCs w:val="26"/>
                <w:lang w:eastAsia="en-US"/>
              </w:rPr>
            </w:pPr>
          </w:p>
        </w:tc>
        <w:tc>
          <w:tcPr>
            <w:tcW w:w="1170" w:type="dxa"/>
            <w:vAlign w:val="center"/>
          </w:tcPr>
          <w:p>
            <w:pPr>
              <w:widowControl/>
              <w:autoSpaceDN w:val="0"/>
              <w:spacing w:after="200" w:line="276" w:lineRule="auto"/>
              <w:jc w:val="center"/>
              <w:rPr>
                <w:rFonts w:ascii="標楷體" w:hAnsi="標楷體" w:eastAsia="標楷體"/>
                <w:kern w:val="0"/>
                <w:sz w:val="26"/>
                <w:szCs w:val="26"/>
                <w:lang w:eastAsia="en-US"/>
              </w:rPr>
            </w:pPr>
          </w:p>
        </w:tc>
      </w:tr>
    </w:tbl>
    <w:p>
      <w:pPr>
        <w:widowControl/>
        <w:adjustRightInd w:val="0"/>
        <w:snapToGrid w:val="0"/>
        <w:spacing w:after="200" w:line="276" w:lineRule="auto"/>
        <w:rPr>
          <w:rFonts w:ascii="標楷體" w:hAnsi="標楷體" w:eastAsia="標楷體"/>
          <w:kern w:val="0"/>
          <w:lang w:eastAsia="en-US"/>
        </w:rPr>
      </w:pPr>
    </w:p>
    <w:p>
      <w:pPr>
        <w:widowControl/>
        <w:adjustRightInd w:val="0"/>
        <w:snapToGrid w:val="0"/>
        <w:spacing w:after="200" w:line="276" w:lineRule="auto"/>
        <w:rPr>
          <w:rFonts w:ascii="標楷體" w:hAnsi="標楷體" w:eastAsia="標楷體"/>
          <w:kern w:val="0"/>
        </w:rPr>
      </w:pPr>
    </w:p>
    <w:p>
      <w:pPr>
        <w:widowControl/>
        <w:adjustRightInd w:val="0"/>
        <w:snapToGrid w:val="0"/>
        <w:spacing w:after="200" w:line="420" w:lineRule="exact"/>
        <w:rPr>
          <w:rFonts w:ascii="標楷體" w:hAnsi="標楷體" w:eastAsia="標楷體"/>
          <w:kern w:val="0"/>
          <w:sz w:val="22"/>
          <w:szCs w:val="22"/>
        </w:rPr>
      </w:pPr>
      <w:r>
        <w:rPr>
          <w:rFonts w:hint="eastAsia" w:eastAsia="標楷體"/>
          <w:kern w:val="0"/>
          <w:lang w:eastAsia="zh-TW"/>
        </w:rPr>
        <w:t>八</w:t>
      </w:r>
      <w:r>
        <w:rPr>
          <w:rFonts w:eastAsia="標楷體"/>
          <w:kern w:val="0"/>
        </w:rPr>
        <w:t>、成效評估之實施</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kern w:val="0"/>
        </w:rPr>
        <w:t xml:space="preserve">  1、教師應了解各種健康教育桌遊的使用。</w:t>
      </w:r>
    </w:p>
    <w:p>
      <w:pPr>
        <w:widowControl/>
        <w:adjustRightInd w:val="0"/>
        <w:snapToGrid w:val="0"/>
        <w:spacing w:after="200" w:line="276" w:lineRule="auto"/>
        <w:ind w:firstLine="240" w:firstLineChars="100"/>
        <w:rPr>
          <w:rFonts w:ascii="標楷體" w:hAnsi="標楷體" w:eastAsia="標楷體"/>
          <w:kern w:val="0"/>
        </w:rPr>
      </w:pPr>
      <w:r>
        <w:rPr>
          <w:rFonts w:hint="eastAsia" w:ascii="標楷體" w:hAnsi="標楷體" w:eastAsia="標楷體"/>
          <w:kern w:val="0"/>
        </w:rPr>
        <w:t>2、教師應優化各種健康教育桌遊的使用方式，使讓教學課程更為豐富。</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6" w:lineRule="auto"/>
        <w:ind w:left="1200" w:hanging="1200" w:hangingChars="500"/>
        <w:rPr>
          <w:rFonts w:ascii="標楷體" w:hAnsi="標楷體" w:eastAsia="標楷體"/>
          <w:kern w:val="0"/>
        </w:rPr>
      </w:pPr>
      <w:r>
        <w:rPr>
          <w:rFonts w:hint="eastAsia" w:ascii="標楷體" w:hAnsi="標楷體" w:eastAsia="標楷體"/>
          <w:kern w:val="0"/>
        </w:rPr>
        <w:t xml:space="preserve">      1、問卷方式評估：是否有90%以上的教師了解各種健康教育桌遊的使用方式。</w:t>
      </w:r>
    </w:p>
    <w:p>
      <w:pPr>
        <w:widowControl/>
        <w:adjustRightInd w:val="0"/>
        <w:snapToGrid w:val="0"/>
        <w:spacing w:after="200" w:line="276" w:lineRule="auto"/>
        <w:ind w:left="1018" w:leftChars="324" w:hanging="240" w:hangingChars="100"/>
        <w:rPr>
          <w:rFonts w:ascii="標楷體" w:hAnsi="標楷體" w:eastAsia="標楷體"/>
          <w:kern w:val="0"/>
        </w:rPr>
      </w:pPr>
      <w:r>
        <w:rPr>
          <w:rFonts w:hint="eastAsia" w:ascii="標楷體" w:hAnsi="標楷體" w:eastAsia="標楷體"/>
          <w:kern w:val="0"/>
        </w:rPr>
        <w:t>2、以群組對話的方式追縱：能在實際課程中優化並使用各種健康教育桌遊的教師比例是否達70%。</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1、問卷</w:t>
      </w:r>
    </w:p>
    <w:p>
      <w:pPr>
        <w:widowControl/>
        <w:adjustRightInd w:val="0"/>
        <w:snapToGrid w:val="0"/>
        <w:spacing w:after="200" w:line="276" w:lineRule="auto"/>
        <w:ind w:firstLine="720" w:firstLineChars="300"/>
        <w:rPr>
          <w:rFonts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w:t>
      </w:r>
      <w:r>
        <w:rPr>
          <w:rFonts w:ascii="標楷體" w:hAnsi="標楷體" w:eastAsia="標楷體"/>
          <w:kern w:val="0"/>
        </w:rPr>
        <w:t>預期成效</w:t>
      </w:r>
    </w:p>
    <w:p>
      <w:pPr>
        <w:widowControl/>
        <w:adjustRightInd w:val="0"/>
        <w:snapToGrid w:val="0"/>
        <w:spacing w:after="200" w:line="276" w:lineRule="auto"/>
        <w:rPr>
          <w:rFonts w:ascii="標楷體" w:hAnsi="標楷體" w:eastAsia="標楷體" w:cs="標楷體"/>
          <w:kern w:val="0"/>
        </w:rPr>
      </w:pPr>
      <w:r>
        <w:rPr>
          <w:rFonts w:hint="eastAsia" w:ascii="標楷體" w:hAnsi="標楷體" w:eastAsia="標楷體"/>
          <w:kern w:val="0"/>
        </w:rPr>
        <w:t>（一）老師們能</w:t>
      </w:r>
      <w:r>
        <w:rPr>
          <w:rFonts w:hint="eastAsia" w:ascii="標楷體" w:hAnsi="標楷體" w:eastAsia="標楷體" w:cs="標楷體"/>
          <w:kern w:val="0"/>
        </w:rPr>
        <w:t>了解</w:t>
      </w:r>
      <w:r>
        <w:rPr>
          <w:rFonts w:hint="eastAsia" w:ascii="標楷體" w:hAnsi="標楷體" w:eastAsia="標楷體"/>
          <w:kern w:val="0"/>
        </w:rPr>
        <w:t>各種健康教育桌遊的使用方式</w:t>
      </w:r>
      <w:r>
        <w:rPr>
          <w:rFonts w:hint="eastAsia" w:ascii="標楷體" w:hAnsi="標楷體" w:eastAsia="標楷體" w:cs="標楷體"/>
          <w:kern w:val="0"/>
        </w:rPr>
        <w:t>。</w:t>
      </w:r>
    </w:p>
    <w:p>
      <w:pPr>
        <w:widowControl/>
        <w:adjustRightInd w:val="0"/>
        <w:snapToGrid w:val="0"/>
        <w:spacing w:after="200" w:line="276" w:lineRule="auto"/>
        <w:ind w:left="720" w:hanging="720" w:hangingChars="300"/>
        <w:rPr>
          <w:rFonts w:ascii="標楷體" w:hAnsi="標楷體" w:eastAsia="標楷體"/>
          <w:kern w:val="0"/>
        </w:rPr>
      </w:pPr>
      <w:r>
        <w:rPr>
          <w:rFonts w:hint="eastAsia" w:ascii="標楷體" w:hAnsi="標楷體" w:eastAsia="標楷體" w:cs="DFMing-Md-HKP-BF"/>
          <w:kern w:val="0"/>
        </w:rPr>
        <w:t>（二）有70%</w:t>
      </w:r>
      <w:r>
        <w:rPr>
          <w:rFonts w:hint="eastAsia" w:ascii="標楷體" w:hAnsi="標楷體" w:eastAsia="標楷體"/>
          <w:kern w:val="0"/>
        </w:rPr>
        <w:t>以上參與研習並且授課健康教育老師能實際在課程中優化並使用各種健康教育桌遊，以活化教學。</w:t>
      </w:r>
    </w:p>
    <w:p>
      <w:pPr>
        <w:widowControl/>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val="en-US" w:eastAsia="zh-TW"/>
        </w:rPr>
        <w:t xml:space="preserve"> </w:t>
      </w:r>
      <w:r>
        <w:rPr>
          <w:rFonts w:hint="eastAsia" w:ascii="標楷體" w:hAnsi="標楷體" w:eastAsia="標楷體"/>
          <w:kern w:val="0"/>
        </w:rPr>
        <w:t>、考核與獎勵：承辦本活動有功人員，依嘉義市教育專業人員獎勵準則辦理敘獎。</w:t>
      </w:r>
    </w:p>
    <w:p>
      <w:pPr>
        <w:widowControl/>
        <w:autoSpaceDE w:val="0"/>
        <w:autoSpaceDN w:val="0"/>
        <w:adjustRightInd w:val="0"/>
        <w:snapToGrid w:val="0"/>
        <w:spacing w:after="200" w:line="276" w:lineRule="auto"/>
        <w:rPr>
          <w:rFonts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bookmarkStart w:id="0" w:name="_GoBack"/>
      <w:bookmarkEnd w:id="0"/>
      <w:r>
        <w:rPr>
          <w:rFonts w:hint="eastAsia" w:ascii="標楷體" w:hAnsi="標楷體" w:eastAsia="標楷體"/>
          <w:kern w:val="0"/>
        </w:rPr>
        <w:t>、本計畫陳嘉義市政府教育處核定，經教育部審查通過後實施，修正時亦同。</w:t>
      </w:r>
    </w:p>
    <w:p>
      <w:pPr>
        <w:widowControl/>
        <w:autoSpaceDE w:val="0"/>
        <w:autoSpaceDN w:val="0"/>
        <w:adjustRightInd w:val="0"/>
        <w:snapToGrid w:val="0"/>
        <w:spacing w:after="200" w:line="276" w:lineRule="auto"/>
        <w:rPr>
          <w:rFonts w:ascii="標楷體" w:hAnsi="標楷體" w:eastAsia="標楷體"/>
          <w:kern w:val="0"/>
        </w:rPr>
      </w:pPr>
    </w:p>
    <w:p>
      <w:pPr>
        <w:widowControl/>
        <w:adjustRightInd w:val="0"/>
        <w:snapToGrid w:val="0"/>
        <w:jc w:val="both"/>
        <w:rPr>
          <w:rFonts w:hint="eastAsia" w:ascii="標楷體" w:hAnsi="標楷體" w:eastAsia="標楷體" w:cs="Arial"/>
          <w:kern w:val="0"/>
          <w:sz w:val="28"/>
          <w:szCs w:val="28"/>
        </w:rPr>
      </w:pPr>
    </w:p>
    <w:p>
      <w:pPr>
        <w:widowControl/>
        <w:adjustRightInd w:val="0"/>
        <w:snapToGrid w:val="0"/>
        <w:jc w:val="both"/>
        <w:rPr>
          <w:rFonts w:hint="eastAsia" w:ascii="標楷體" w:hAnsi="標楷體" w:eastAsia="標楷體" w:cs="Arial"/>
          <w:kern w:val="0"/>
          <w:sz w:val="28"/>
          <w:szCs w:val="28"/>
        </w:rPr>
      </w:pPr>
    </w:p>
    <w:p>
      <w:pPr>
        <w:widowControl/>
        <w:adjustRightInd w:val="0"/>
        <w:snapToGrid w:val="0"/>
        <w:jc w:val="both"/>
        <w:rPr>
          <w:rFonts w:ascii="標楷體" w:hAnsi="標楷體" w:eastAsia="標楷體" w:cs="Arial"/>
          <w:kern w:val="0"/>
          <w:sz w:val="28"/>
          <w:szCs w:val="28"/>
        </w:rPr>
      </w:pPr>
      <w:r>
        <w:rPr>
          <w:rFonts w:hint="eastAsia" w:ascii="標楷體" w:hAnsi="標楷體" w:eastAsia="標楷體" w:cs="Arial"/>
          <w:kern w:val="0"/>
          <w:sz w:val="28"/>
          <w:szCs w:val="28"/>
        </w:rPr>
        <w:t xml:space="preserve"> </w:t>
      </w:r>
      <w:r>
        <w:rPr>
          <w:rFonts w:hint="eastAsia" w:ascii="標楷體" w:hAnsi="標楷體" w:eastAsia="標楷體" w:cs="Arial"/>
          <w:kern w:val="0"/>
        </w:rPr>
        <w:t xml:space="preserve">承辦人                    會計 </w:t>
      </w:r>
      <w:r>
        <w:rPr>
          <w:rFonts w:hint="eastAsia" w:ascii="標楷體" w:hAnsi="標楷體" w:eastAsia="標楷體" w:cs="Arial"/>
          <w:kern w:val="0"/>
          <w:lang w:val="en-US" w:eastAsia="zh-TW"/>
        </w:rPr>
        <w:t xml:space="preserve">  </w:t>
      </w:r>
      <w:r>
        <w:rPr>
          <w:rFonts w:hint="eastAsia" w:ascii="標楷體" w:hAnsi="標楷體" w:eastAsia="標楷體" w:cs="Arial"/>
          <w:kern w:val="0"/>
        </w:rPr>
        <w:t xml:space="preserve"> </w:t>
      </w:r>
      <w:r>
        <w:rPr>
          <w:rFonts w:hint="eastAsia" w:ascii="標楷體" w:hAnsi="標楷體" w:eastAsia="標楷體" w:cs="Arial"/>
          <w:kern w:val="0"/>
          <w:lang w:val="en-US" w:eastAsia="zh-TW"/>
        </w:rPr>
        <w:t xml:space="preserve">  </w:t>
      </w:r>
      <w:r>
        <w:rPr>
          <w:rFonts w:hint="eastAsia" w:ascii="標楷體" w:hAnsi="標楷體" w:eastAsia="標楷體" w:cs="Arial"/>
          <w:kern w:val="0"/>
        </w:rPr>
        <w:t xml:space="preserve">       </w:t>
      </w:r>
      <w:r>
        <w:rPr>
          <w:rFonts w:hint="eastAsia" w:ascii="標楷體" w:hAnsi="標楷體" w:eastAsia="標楷體" w:cs="Arial"/>
          <w:kern w:val="0"/>
          <w:lang w:val="en-US" w:eastAsia="zh-TW"/>
        </w:rPr>
        <w:t xml:space="preserve">        </w:t>
      </w:r>
      <w:r>
        <w:rPr>
          <w:rFonts w:hint="eastAsia" w:ascii="標楷體" w:hAnsi="標楷體" w:eastAsia="標楷體" w:cs="Arial"/>
          <w:kern w:val="0"/>
          <w:lang w:eastAsia="zh-TW"/>
        </w:rPr>
        <w:t>總召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華康明體 Std W5">
    <w:altName w:val="新細明體"/>
    <w:panose1 w:val="00000000000000000000"/>
    <w:charset w:val="88"/>
    <w:family w:val="roman"/>
    <w:pitch w:val="default"/>
    <w:sig w:usb0="00000000" w:usb1="00000000" w:usb2="00000016" w:usb3="00000000" w:csb0="0010000D" w:csb1="00000000"/>
  </w:font>
  <w:font w:name="華康黑體 Std W5">
    <w:altName w:val="SimSun"/>
    <w:panose1 w:val="00000000000000000000"/>
    <w:charset w:val="88"/>
    <w:family w:val="swiss"/>
    <w:pitch w:val="default"/>
    <w:sig w:usb0="00000000" w:usb1="00000000" w:usb2="00000016" w:usb3="00000000" w:csb0="0010000D" w:csb1="00000000"/>
  </w:font>
  <w:font w:name="華康黑體 Std W7">
    <w:altName w:val="SimSun"/>
    <w:panose1 w:val="00000000000000000000"/>
    <w:charset w:val="88"/>
    <w:family w:val="swiss"/>
    <w:pitch w:val="default"/>
    <w:sig w:usb0="00000000" w:usb1="00000000" w:usb2="00000016" w:usb3="00000000" w:csb0="0010000D" w:csb1="00000000"/>
  </w:font>
  <w:font w:name="華康圓體 Std W5">
    <w:altName w:val="細明體"/>
    <w:panose1 w:val="00000000000000000000"/>
    <w:charset w:val="88"/>
    <w:family w:val="modern"/>
    <w:pitch w:val="default"/>
    <w:sig w:usb0="00000000" w:usb1="00000000" w:usb2="00000016" w:usb3="00000000" w:csb0="0010000D" w:csb1="00000000"/>
  </w:font>
  <w:font w:name="µØ±d©úÅé Std W5 Western">
    <w:altName w:val="Times New Roman"/>
    <w:panose1 w:val="00000000000000000000"/>
    <w:charset w:val="00"/>
    <w:family w:val="auto"/>
    <w:pitch w:val="default"/>
    <w:sig w:usb0="00000000" w:usb1="00000000" w:usb2="00000000" w:usb3="00000000" w:csb0="0000009F" w:csb1="00000000"/>
  </w:font>
  <w:font w:name="µØ±d¶ÂÅé Std W5 Western">
    <w:altName w:val="Times New Roman"/>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8"/>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DengXian">
    <w:altName w:val="SimSun"/>
    <w:panose1 w:val="02010600030101010101"/>
    <w:charset w:val="86"/>
    <w:family w:val="modern"/>
    <w:pitch w:val="default"/>
    <w:sig w:usb0="00000000" w:usb1="00000000" w:usb2="00000010" w:usb3="00000000" w:csb0="00040000" w:csb1="00000000"/>
  </w:font>
  <w:font w:name="DFHei-W7-WIN-BF">
    <w:altName w:val="新細明體"/>
    <w:panose1 w:val="00000000000000000000"/>
    <w:charset w:val="88"/>
    <w:family w:val="auto"/>
    <w:pitch w:val="default"/>
    <w:sig w:usb0="00000000" w:usb1="00000000" w:usb2="00000010" w:usb3="00000000" w:csb0="00100000" w:csb1="00000000"/>
  </w:font>
  <w:font w:name="DFMing-Md-HKP-BF">
    <w:altName w:val="新細明體"/>
    <w:panose1 w:val="00000000000000000000"/>
    <w:charset w:val="88"/>
    <w:family w:val="auto"/>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DFNMing-W9-WIN-BF">
    <w:altName w:val="新細明體"/>
    <w:panose1 w:val="00000000000000000000"/>
    <w:charset w:val="88"/>
    <w:family w:val="auto"/>
    <w:pitch w:val="default"/>
    <w:sig w:usb0="00000000" w:usb1="00000000" w:usb2="00000010" w:usb3="00000000" w:csb0="00100000" w:csb1="00000000"/>
  </w:font>
  <w:font w:name="TimesNewRoman">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B9785"/>
    <w:multiLevelType w:val="singleLevel"/>
    <w:tmpl w:val="63FB9785"/>
    <w:lvl w:ilvl="0" w:tentative="0">
      <w:start w:val="7"/>
      <w:numFmt w:val="chineseCounting"/>
      <w:suff w:val="nothing"/>
      <w:lvlText w:val="%1、"/>
      <w:lvlJc w:val="left"/>
    </w:lvl>
  </w:abstractNum>
  <w:abstractNum w:abstractNumId="1">
    <w:nsid w:val="63FEC3CD"/>
    <w:multiLevelType w:val="singleLevel"/>
    <w:tmpl w:val="63FEC3C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C1FA9"/>
    <w:rsid w:val="030312F8"/>
    <w:rsid w:val="05927713"/>
    <w:rsid w:val="0B0C1FA9"/>
    <w:rsid w:val="10033DAF"/>
    <w:rsid w:val="2AFD1867"/>
    <w:rsid w:val="346C2DF7"/>
    <w:rsid w:val="3BFA2D6A"/>
    <w:rsid w:val="4C5E06A3"/>
  </w:rsid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2024-09-06T06:32:00Z</dcterms:created>
  <dc:creator>USER</dc:creator>
  <cp:lastModifiedBy>USER</cp:lastModifiedBy>
  <dcterms:modified xsi:type="dcterms:W3CDTF">2025-01-10T08:09:16Z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